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39795A">
      <w:pPr>
        <w:jc w:val="center"/>
        <w:rPr>
          <w:rFonts w:hint="eastAsia" w:ascii="黑体" w:hAnsi="黑体" w:eastAsia="黑体"/>
          <w:b/>
          <w:sz w:val="32"/>
          <w:szCs w:val="32"/>
        </w:rPr>
      </w:pPr>
      <w:r>
        <w:rPr>
          <w:rFonts w:hint="eastAsia" w:ascii="黑体" w:hAnsi="黑体" w:eastAsia="黑体"/>
          <w:b/>
          <w:sz w:val="32"/>
          <w:szCs w:val="32"/>
        </w:rPr>
        <w:t>程宇20</w:t>
      </w:r>
      <w:r>
        <w:rPr>
          <w:rFonts w:ascii="黑体" w:hAnsi="黑体" w:eastAsia="黑体"/>
          <w:b/>
          <w:sz w:val="32"/>
          <w:szCs w:val="32"/>
        </w:rPr>
        <w:t>2</w:t>
      </w:r>
      <w:r>
        <w:rPr>
          <w:rFonts w:hint="eastAsia" w:ascii="黑体" w:hAnsi="黑体" w:eastAsia="黑体"/>
          <w:b/>
          <w:sz w:val="32"/>
          <w:szCs w:val="32"/>
          <w:lang w:val="en-US" w:eastAsia="zh-CN"/>
        </w:rPr>
        <w:t>4</w:t>
      </w:r>
      <w:r>
        <w:rPr>
          <w:rFonts w:hint="eastAsia" w:ascii="黑体" w:hAnsi="黑体" w:eastAsia="黑体"/>
          <w:b/>
          <w:sz w:val="32"/>
          <w:szCs w:val="32"/>
        </w:rPr>
        <w:t>-20</w:t>
      </w:r>
      <w:r>
        <w:rPr>
          <w:rFonts w:ascii="黑体" w:hAnsi="黑体" w:eastAsia="黑体"/>
          <w:b/>
          <w:sz w:val="32"/>
          <w:szCs w:val="32"/>
        </w:rPr>
        <w:t>2</w:t>
      </w:r>
      <w:r>
        <w:rPr>
          <w:rFonts w:hint="eastAsia" w:ascii="黑体" w:hAnsi="黑体" w:eastAsia="黑体"/>
          <w:b/>
          <w:sz w:val="32"/>
          <w:szCs w:val="32"/>
          <w:lang w:val="en-US" w:eastAsia="zh-CN"/>
        </w:rPr>
        <w:t>5</w:t>
      </w:r>
      <w:r>
        <w:rPr>
          <w:rFonts w:hint="eastAsia" w:ascii="黑体" w:hAnsi="黑体" w:eastAsia="黑体"/>
          <w:b/>
          <w:sz w:val="32"/>
          <w:szCs w:val="32"/>
        </w:rPr>
        <w:t>学年度个人工作总结</w:t>
      </w:r>
    </w:p>
    <w:p w14:paraId="2B8BC6AA">
      <w:pPr>
        <w:numPr>
          <w:ilvl w:val="0"/>
          <w:numId w:val="1"/>
        </w:numPr>
        <w:spacing w:line="360" w:lineRule="auto"/>
        <w:rPr>
          <w:rFonts w:hint="eastAsia" w:ascii="仿宋" w:hAnsi="仿宋" w:eastAsia="仿宋"/>
          <w:sz w:val="24"/>
        </w:rPr>
      </w:pPr>
      <w:r>
        <w:rPr>
          <w:rFonts w:hint="eastAsia" w:ascii="仿宋" w:hAnsi="仿宋" w:eastAsia="仿宋"/>
          <w:sz w:val="24"/>
        </w:rPr>
        <w:t>政治思想方面</w:t>
      </w:r>
    </w:p>
    <w:p w14:paraId="44224FDD">
      <w:pPr>
        <w:spacing w:line="360" w:lineRule="auto"/>
        <w:ind w:firstLine="480" w:firstLineChars="200"/>
        <w:rPr>
          <w:rFonts w:hint="eastAsia" w:ascii="仿宋" w:hAnsi="仿宋" w:eastAsia="仿宋"/>
          <w:sz w:val="24"/>
        </w:rPr>
      </w:pPr>
      <w:r>
        <w:rPr>
          <w:rFonts w:hint="eastAsia" w:ascii="仿宋" w:hAnsi="仿宋" w:eastAsia="仿宋"/>
          <w:sz w:val="24"/>
        </w:rPr>
        <w:t>在本学期能够积极参加学院组织的各类政治学习，认真完成政治学习笔记。</w:t>
      </w:r>
      <w:r>
        <w:rPr>
          <w:rFonts w:ascii="仿宋" w:hAnsi="仿宋" w:eastAsia="仿宋"/>
          <w:sz w:val="24"/>
        </w:rPr>
        <w:t>按照</w:t>
      </w:r>
      <w:r>
        <w:rPr>
          <w:rFonts w:hint="eastAsia" w:ascii="仿宋" w:hAnsi="仿宋" w:eastAsia="仿宋"/>
          <w:sz w:val="24"/>
        </w:rPr>
        <w:t>学院党委的</w:t>
      </w:r>
      <w:r>
        <w:rPr>
          <w:rFonts w:ascii="仿宋" w:hAnsi="仿宋" w:eastAsia="仿宋"/>
          <w:sz w:val="24"/>
        </w:rPr>
        <w:t>统一安排，学习中央和省市及</w:t>
      </w:r>
      <w:r>
        <w:rPr>
          <w:rFonts w:hint="eastAsia" w:ascii="仿宋" w:hAnsi="仿宋" w:eastAsia="仿宋"/>
          <w:sz w:val="24"/>
        </w:rPr>
        <w:t>学院</w:t>
      </w:r>
      <w:r>
        <w:rPr>
          <w:rFonts w:ascii="仿宋" w:hAnsi="仿宋" w:eastAsia="仿宋"/>
          <w:sz w:val="24"/>
        </w:rPr>
        <w:t>党委领导的讲话和文件，以学习实践科学发展观涌现出来的先进典型为榜样，对照自身找差距、明确方向、制定</w:t>
      </w:r>
      <w:r>
        <w:rPr>
          <w:rFonts w:hint="eastAsia" w:ascii="仿宋" w:hAnsi="仿宋" w:eastAsia="仿宋"/>
          <w:sz w:val="24"/>
        </w:rPr>
        <w:t>整改</w:t>
      </w:r>
      <w:r>
        <w:rPr>
          <w:rFonts w:ascii="仿宋" w:hAnsi="仿宋" w:eastAsia="仿宋"/>
          <w:sz w:val="24"/>
        </w:rPr>
        <w:t>措施</w:t>
      </w:r>
      <w:r>
        <w:rPr>
          <w:rFonts w:hint="eastAsia" w:ascii="仿宋" w:hAnsi="仿宋" w:eastAsia="仿宋"/>
          <w:sz w:val="24"/>
        </w:rPr>
        <w:t>。另外，作为公共卫生学院第二党支部的组织委员能够主动协助上级完成本支部的日常工作，如帮助组织日常的政治理论学习及党费的收取工作等。</w:t>
      </w:r>
    </w:p>
    <w:p w14:paraId="2F08BFDB">
      <w:pPr>
        <w:spacing w:line="360" w:lineRule="auto"/>
        <w:rPr>
          <w:rFonts w:hint="eastAsia" w:ascii="仿宋" w:hAnsi="仿宋" w:eastAsia="仿宋"/>
          <w:sz w:val="24"/>
        </w:rPr>
      </w:pPr>
      <w:r>
        <w:rPr>
          <w:rFonts w:hint="eastAsia" w:ascii="仿宋" w:hAnsi="仿宋" w:eastAsia="仿宋"/>
          <w:sz w:val="24"/>
        </w:rPr>
        <w:t xml:space="preserve">二、教学科研方面  </w:t>
      </w:r>
    </w:p>
    <w:p w14:paraId="2540AD6F">
      <w:pPr>
        <w:spacing w:line="360" w:lineRule="auto"/>
        <w:ind w:firstLine="480" w:firstLineChars="200"/>
        <w:rPr>
          <w:rFonts w:hint="eastAsia" w:ascii="仿宋" w:hAnsi="仿宋" w:eastAsia="仿宋"/>
          <w:sz w:val="24"/>
        </w:rPr>
      </w:pPr>
      <w:r>
        <w:rPr>
          <w:rFonts w:hint="eastAsia" w:ascii="仿宋" w:hAnsi="仿宋" w:eastAsia="仿宋"/>
          <w:sz w:val="24"/>
        </w:rPr>
        <w:t>1、认真对待每一门课的教学工作：教学方面本学年共完成教学工作量</w:t>
      </w:r>
      <w:r>
        <w:rPr>
          <w:rFonts w:hint="eastAsia" w:ascii="仿宋" w:hAnsi="仿宋" w:eastAsia="仿宋"/>
          <w:sz w:val="24"/>
          <w:lang w:val="en-US" w:eastAsia="zh-CN"/>
        </w:rPr>
        <w:t>336.34</w:t>
      </w:r>
      <w:r>
        <w:rPr>
          <w:rFonts w:hint="eastAsia" w:ascii="仿宋" w:hAnsi="仿宋" w:eastAsia="仿宋"/>
          <w:sz w:val="24"/>
        </w:rPr>
        <w:t>当量学时（博士满分为1</w:t>
      </w:r>
      <w:r>
        <w:rPr>
          <w:rFonts w:ascii="仿宋" w:hAnsi="仿宋" w:eastAsia="仿宋"/>
          <w:sz w:val="24"/>
        </w:rPr>
        <w:t>80</w:t>
      </w:r>
      <w:r>
        <w:rPr>
          <w:rFonts w:hint="eastAsia" w:ascii="仿宋" w:hAnsi="仿宋" w:eastAsia="仿宋"/>
          <w:sz w:val="24"/>
        </w:rPr>
        <w:t>当量学时）；对待每一门课都能够认真进行课前准备，熟悉教材的重点与难点，掌握知识的结构，并且查找相关资料扩充知识内容。在教学过程中能考虑教法，应用启发式、案例式等教学方法增加学生的学习兴趣，创造良好的课堂气氛，努力提高学生线上学习的效果。平时积极参与听课，虚心向其他老师学习教学方法，博采众长，在自己的教学中不断实践、不断总结、不断提高。</w:t>
      </w:r>
    </w:p>
    <w:p w14:paraId="16A4593D">
      <w:pPr>
        <w:spacing w:line="360" w:lineRule="auto"/>
        <w:rPr>
          <w:rFonts w:hint="eastAsia" w:ascii="仿宋" w:hAnsi="仿宋" w:eastAsia="仿宋"/>
          <w:sz w:val="24"/>
        </w:rPr>
      </w:pPr>
      <w:r>
        <w:rPr>
          <w:rFonts w:hint="eastAsia" w:ascii="仿宋" w:hAnsi="仿宋" w:eastAsia="仿宋"/>
          <w:sz w:val="24"/>
        </w:rPr>
        <w:t xml:space="preserve">    日常教学中本着对教学工作和学生负责的态度在开课之初反复研究教学内容，熟悉课程的理论体系，利用假期休息时间搜集了大量的相关资料扩充自己的知识面提高教学层次。授课过程中及时听取学生的反馈意见，完善教学方法，受到了学生的认可。指导学生获</w:t>
      </w:r>
      <w:r>
        <w:rPr>
          <w:rFonts w:hint="eastAsia" w:ascii="仿宋" w:hAnsi="仿宋" w:eastAsia="仿宋"/>
          <w:sz w:val="24"/>
          <w:lang w:val="en-US" w:eastAsia="zh-CN"/>
        </w:rPr>
        <w:t>黑龙江省挑战杯大学生创新创业大赛一等奖</w:t>
      </w:r>
      <w:r>
        <w:rPr>
          <w:rFonts w:hint="eastAsia" w:ascii="仿宋" w:hAnsi="仿宋" w:eastAsia="仿宋"/>
          <w:sz w:val="24"/>
        </w:rPr>
        <w:t>，</w:t>
      </w:r>
      <w:r>
        <w:rPr>
          <w:rFonts w:hint="eastAsia" w:ascii="仿宋" w:hAnsi="仿宋" w:eastAsia="仿宋"/>
          <w:sz w:val="24"/>
          <w:lang w:val="en-US" w:eastAsia="zh-CN"/>
        </w:rPr>
        <w:t>中国国际大学生创新大赛（2024）黑龙江赛区铜奖，</w:t>
      </w:r>
      <w:r>
        <w:rPr>
          <w:rFonts w:hint="eastAsia" w:ascii="仿宋" w:hAnsi="仿宋" w:eastAsia="仿宋"/>
          <w:sz w:val="24"/>
        </w:rPr>
        <w:t>指导学生</w:t>
      </w:r>
      <w:r>
        <w:rPr>
          <w:rFonts w:hint="eastAsia" w:ascii="仿宋" w:hAnsi="仿宋" w:eastAsia="仿宋"/>
          <w:sz w:val="24"/>
          <w:lang w:val="en-US" w:eastAsia="zh-CN"/>
        </w:rPr>
        <w:t>申报大创项目1项；申报软件著作权1项。</w:t>
      </w:r>
    </w:p>
    <w:p w14:paraId="472C0B2B">
      <w:pPr>
        <w:spacing w:line="360" w:lineRule="auto"/>
        <w:ind w:firstLine="480" w:firstLineChars="200"/>
        <w:rPr>
          <w:rFonts w:hint="eastAsia" w:ascii="仿宋" w:hAnsi="仿宋" w:eastAsia="仿宋"/>
          <w:sz w:val="24"/>
        </w:rPr>
      </w:pPr>
      <w:bookmarkStart w:id="0" w:name="OLE_LINK274"/>
      <w:bookmarkStart w:id="1" w:name="OLE_LINK273"/>
      <w:r>
        <w:rPr>
          <w:rFonts w:hint="eastAsia" w:ascii="仿宋" w:hAnsi="仿宋" w:eastAsia="仿宋"/>
          <w:sz w:val="24"/>
        </w:rPr>
        <w:t>2、积极申报和参加教科研课题提高自身科研水平：本年度发表</w:t>
      </w:r>
      <w:r>
        <w:rPr>
          <w:rFonts w:hint="eastAsia" w:ascii="仿宋" w:hAnsi="仿宋" w:eastAsia="仿宋"/>
          <w:sz w:val="24"/>
          <w:lang w:val="en-US" w:eastAsia="zh-CN"/>
        </w:rPr>
        <w:t>一类核心期刊</w:t>
      </w:r>
      <w:r>
        <w:rPr>
          <w:rFonts w:hint="eastAsia" w:ascii="仿宋" w:hAnsi="仿宋" w:eastAsia="仿宋"/>
          <w:sz w:val="24"/>
        </w:rPr>
        <w:t>1篇“7种类黄酮化合物对高脂饮食小鼠脂代谢和肠道菌群影响的比较研究”。</w:t>
      </w:r>
      <w:r>
        <w:rPr>
          <w:rFonts w:hint="eastAsia" w:ascii="仿宋" w:hAnsi="仿宋" w:eastAsia="仿宋"/>
          <w:sz w:val="24"/>
          <w:lang w:val="en-US" w:eastAsia="zh-CN"/>
        </w:rPr>
        <w:t>参与发表</w:t>
      </w:r>
      <w:r>
        <w:rPr>
          <w:rFonts w:hint="default" w:ascii="仿宋" w:hAnsi="仿宋" w:eastAsia="仿宋"/>
          <w:sz w:val="24"/>
          <w:lang w:val="en-US" w:eastAsia="zh-CN"/>
        </w:rPr>
        <w:t>sci</w:t>
      </w:r>
      <w:r>
        <w:rPr>
          <w:rFonts w:hint="eastAsia" w:ascii="仿宋" w:hAnsi="仿宋" w:eastAsia="仿宋"/>
          <w:sz w:val="24"/>
          <w:lang w:val="en-US" w:eastAsia="zh-CN"/>
        </w:rPr>
        <w:t>论文4篇，中文核心期刊论文1篇。</w:t>
      </w:r>
      <w:bookmarkEnd w:id="0"/>
      <w:bookmarkEnd w:id="1"/>
      <w:r>
        <w:rPr>
          <w:rFonts w:hint="eastAsia" w:ascii="仿宋" w:hAnsi="仿宋" w:eastAsia="仿宋"/>
          <w:sz w:val="24"/>
          <w:lang w:val="en-US" w:eastAsia="zh-CN"/>
        </w:rPr>
        <w:t>教研论文“公共卫生综合网络实训平台的建立与应用效果评价”获黑龙江省教育评估与质量检测学会2024届优秀教育科研成果论文类三等奖。</w:t>
      </w:r>
    </w:p>
    <w:p w14:paraId="0BCDFFEB">
      <w:pPr>
        <w:spacing w:line="360" w:lineRule="auto"/>
        <w:ind w:firstLine="360" w:firstLineChars="150"/>
        <w:rPr>
          <w:rFonts w:hint="eastAsia" w:ascii="仿宋" w:hAnsi="仿宋" w:eastAsia="仿宋"/>
          <w:sz w:val="24"/>
        </w:rPr>
      </w:pPr>
      <w:bookmarkStart w:id="2" w:name="_GoBack"/>
      <w:bookmarkEnd w:id="2"/>
      <w:r>
        <w:rPr>
          <w:rFonts w:hint="eastAsia" w:ascii="仿宋" w:hAnsi="仿宋" w:eastAsia="仿宋"/>
          <w:sz w:val="24"/>
        </w:rPr>
        <w:t>三、工作考勤方面</w:t>
      </w:r>
    </w:p>
    <w:p w14:paraId="0D9F5ADE">
      <w:pPr>
        <w:spacing w:line="360" w:lineRule="auto"/>
        <w:ind w:firstLine="480" w:firstLineChars="200"/>
        <w:rPr>
          <w:rFonts w:hint="eastAsia" w:ascii="仿宋" w:hAnsi="仿宋" w:eastAsia="仿宋"/>
          <w:sz w:val="24"/>
        </w:rPr>
      </w:pPr>
      <w:r>
        <w:rPr>
          <w:rFonts w:hint="eastAsia" w:ascii="仿宋" w:hAnsi="仿宋" w:eastAsia="仿宋"/>
          <w:sz w:val="24"/>
        </w:rPr>
        <w:t>我在做好教育教学工作的同时，严格遵守学校的各项规章制度，服从学校的工作安排，配合领导和老师们做好校内外的各项工作。日常工作中严格遵守学校的考勤制度，按时上下班。</w:t>
      </w:r>
    </w:p>
    <w:p w14:paraId="3947E089">
      <w:pPr>
        <w:spacing w:line="360" w:lineRule="auto"/>
        <w:ind w:firstLine="480" w:firstLineChars="200"/>
        <w:rPr>
          <w:rFonts w:hint="eastAsia" w:ascii="仿宋" w:hAnsi="仿宋" w:eastAsia="仿宋"/>
          <w:sz w:val="24"/>
          <w:lang w:eastAsia="zh-CN"/>
        </w:rPr>
      </w:pPr>
      <w:r>
        <w:rPr>
          <w:rFonts w:ascii="仿宋" w:hAnsi="仿宋" w:eastAsia="仿宋"/>
          <w:sz w:val="24"/>
        </w:rPr>
        <w:t>其他方面。坚决服从各级领导的工作安排，能够认真完成上级交给的各种任务，从无推诿扯皮现象。和同事关系融洽，从没有吵架红脸的事情发生。和学生关系如朋友般亲密，以鼓励表扬为主，极少批评，从没有伤害过任何学生的自尊心。为建设和谐校园做出了自己应有的贡献。</w:t>
      </w:r>
      <w:r>
        <w:rPr>
          <w:rFonts w:hint="eastAsia" w:ascii="仿宋" w:hAnsi="仿宋" w:eastAsia="仿宋"/>
          <w:sz w:val="24"/>
          <w:lang w:val="en-US" w:eastAsia="zh-CN"/>
        </w:rPr>
        <w:t>荣获</w:t>
      </w:r>
      <w:r>
        <w:rPr>
          <w:rFonts w:hint="eastAsia" w:ascii="仿宋" w:hAnsi="仿宋" w:eastAsia="仿宋"/>
          <w:sz w:val="24"/>
        </w:rPr>
        <w:t>齐齐哈尔医学院2022-2023学年科研工作先进个人和“科研育人”先进个人荣誉称号</w:t>
      </w:r>
      <w:r>
        <w:rPr>
          <w:rFonts w:hint="eastAsia" w:ascii="仿宋" w:hAnsi="仿宋" w:eastAsia="仿宋"/>
          <w:sz w:val="24"/>
          <w:lang w:eastAsia="zh-CN"/>
        </w:rPr>
        <w:t>。</w:t>
      </w:r>
    </w:p>
    <w:p w14:paraId="210B8DA9">
      <w:pPr>
        <w:spacing w:line="360" w:lineRule="auto"/>
        <w:rPr>
          <w:rFonts w:hint="eastAsia" w:ascii="仿宋" w:hAnsi="仿宋" w:eastAsia="仿宋"/>
          <w:sz w:val="24"/>
        </w:rPr>
      </w:pPr>
      <w:r>
        <w:rPr>
          <w:rFonts w:hint="eastAsia" w:ascii="仿宋" w:hAnsi="仿宋" w:eastAsia="仿宋"/>
          <w:sz w:val="24"/>
        </w:rPr>
        <w:t xml:space="preserve">                                                </w:t>
      </w:r>
    </w:p>
    <w:p w14:paraId="25AB2583">
      <w:pPr>
        <w:spacing w:line="360" w:lineRule="auto"/>
        <w:rPr>
          <w:rFonts w:hint="eastAsia" w:ascii="仿宋" w:hAnsi="仿宋" w:eastAsia="仿宋"/>
          <w:sz w:val="24"/>
        </w:rPr>
      </w:pPr>
    </w:p>
    <w:p w14:paraId="629DB914">
      <w:pPr>
        <w:spacing w:line="360" w:lineRule="auto"/>
        <w:rPr>
          <w:rFonts w:hint="eastAsia" w:ascii="仿宋" w:hAnsi="仿宋" w:eastAsia="仿宋"/>
          <w:sz w:val="24"/>
        </w:rPr>
      </w:pPr>
    </w:p>
    <w:p w14:paraId="57C9EE88">
      <w:pPr>
        <w:spacing w:line="360" w:lineRule="auto"/>
        <w:rPr>
          <w:rFonts w:hint="eastAsia" w:ascii="仿宋" w:hAnsi="仿宋" w:eastAsia="仿宋"/>
          <w:sz w:val="24"/>
        </w:rPr>
      </w:pPr>
      <w:r>
        <w:rPr>
          <w:rFonts w:hint="eastAsia" w:ascii="仿宋" w:hAnsi="仿宋" w:eastAsia="仿宋"/>
          <w:sz w:val="24"/>
        </w:rPr>
        <w:t xml:space="preserve">                                                           </w:t>
      </w:r>
    </w:p>
    <w:p w14:paraId="7B352E78">
      <w:pPr>
        <w:spacing w:line="360" w:lineRule="auto"/>
        <w:rPr>
          <w:rFonts w:hint="eastAsia" w:ascii="仿宋" w:hAnsi="仿宋" w:eastAsia="仿宋"/>
          <w:sz w:val="24"/>
        </w:rPr>
      </w:pPr>
      <w:r>
        <w:rPr>
          <w:rFonts w:hint="eastAsia" w:ascii="仿宋" w:hAnsi="仿宋" w:eastAsia="仿宋"/>
          <w:sz w:val="24"/>
        </w:rPr>
        <w:t xml:space="preserve">                                                          汇报人：程宇</w:t>
      </w:r>
    </w:p>
    <w:p w14:paraId="56441437">
      <w:pPr>
        <w:spacing w:line="360" w:lineRule="auto"/>
        <w:ind w:firstLine="4320" w:firstLineChars="1800"/>
        <w:rPr>
          <w:rFonts w:hint="eastAsia" w:ascii="仿宋" w:hAnsi="仿宋" w:eastAsia="仿宋"/>
          <w:sz w:val="24"/>
        </w:rPr>
      </w:pPr>
    </w:p>
    <w:p w14:paraId="186A5B25">
      <w:pPr>
        <w:spacing w:line="360" w:lineRule="auto"/>
        <w:ind w:firstLine="6840" w:firstLineChars="2850"/>
        <w:rPr>
          <w:rFonts w:hint="eastAsia" w:ascii="仿宋" w:hAnsi="仿宋" w:eastAsia="仿宋"/>
          <w:sz w:val="24"/>
        </w:rPr>
      </w:pPr>
      <w:r>
        <w:rPr>
          <w:rFonts w:hint="eastAsia" w:ascii="仿宋" w:hAnsi="仿宋" w:eastAsia="仿宋"/>
          <w:sz w:val="24"/>
        </w:rPr>
        <w:t>20</w:t>
      </w:r>
      <w:r>
        <w:rPr>
          <w:rFonts w:ascii="仿宋" w:hAnsi="仿宋" w:eastAsia="仿宋"/>
          <w:sz w:val="24"/>
        </w:rPr>
        <w:t>2</w:t>
      </w:r>
      <w:r>
        <w:rPr>
          <w:rFonts w:hint="eastAsia" w:ascii="仿宋" w:hAnsi="仿宋" w:eastAsia="仿宋"/>
          <w:sz w:val="24"/>
          <w:lang w:val="en-US" w:eastAsia="zh-CN"/>
        </w:rPr>
        <w:t>5</w:t>
      </w:r>
      <w:r>
        <w:rPr>
          <w:rFonts w:hint="eastAsia" w:ascii="仿宋" w:hAnsi="仿宋" w:eastAsia="仿宋"/>
          <w:sz w:val="24"/>
        </w:rPr>
        <w:t>年</w:t>
      </w:r>
      <w:r>
        <w:rPr>
          <w:rFonts w:hint="eastAsia" w:ascii="仿宋" w:hAnsi="仿宋" w:eastAsia="仿宋"/>
          <w:sz w:val="24"/>
          <w:lang w:val="en-US" w:eastAsia="zh-CN"/>
        </w:rPr>
        <w:t>8</w:t>
      </w:r>
      <w:r>
        <w:rPr>
          <w:rFonts w:hint="eastAsia" w:ascii="仿宋" w:hAnsi="仿宋" w:eastAsia="仿宋"/>
          <w:sz w:val="24"/>
        </w:rPr>
        <w:t>月</w:t>
      </w:r>
      <w:r>
        <w:rPr>
          <w:rFonts w:hint="eastAsia" w:ascii="仿宋" w:hAnsi="仿宋" w:eastAsia="仿宋"/>
          <w:sz w:val="24"/>
          <w:lang w:val="en-US" w:eastAsia="zh-CN"/>
        </w:rPr>
        <w:t>25</w:t>
      </w:r>
      <w:r>
        <w:rPr>
          <w:rFonts w:hint="eastAsia" w:ascii="仿宋" w:hAnsi="仿宋" w:eastAsia="仿宋"/>
          <w:sz w:val="24"/>
        </w:rPr>
        <w:t>日</w:t>
      </w:r>
    </w:p>
    <w:p w14:paraId="0B7FF33A">
      <w:pPr>
        <w:spacing w:line="360" w:lineRule="auto"/>
        <w:rPr>
          <w:rFonts w:hint="eastAsia" w:ascii="仿宋" w:hAnsi="仿宋" w:eastAsia="仿宋"/>
          <w:sz w:val="24"/>
        </w:rPr>
      </w:pPr>
    </w:p>
    <w:p w14:paraId="5F694CD9"/>
    <w:sectPr>
      <w:headerReference r:id="rId5" w:type="first"/>
      <w:footerReference r:id="rId8" w:type="first"/>
      <w:headerReference r:id="rId3" w:type="default"/>
      <w:footerReference r:id="rId6" w:type="default"/>
      <w:headerReference r:id="rId4" w:type="even"/>
      <w:footerReference r:id="rId7" w:type="even"/>
      <w:pgSz w:w="11906" w:h="16838"/>
      <w:pgMar w:top="1440" w:right="1418" w:bottom="1440" w:left="141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panose1 w:val="020F07020304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5D8D74">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8AE641">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E94BD8">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44A421">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C9C9D1">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77C78F">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ED71C31"/>
    <w:multiLevelType w:val="multilevel"/>
    <w:tmpl w:val="2ED71C31"/>
    <w:lvl w:ilvl="0" w:tentative="0">
      <w:start w:val="1"/>
      <w:numFmt w:val="japaneseCounting"/>
      <w:lvlText w:val="%1、"/>
      <w:lvlJc w:val="left"/>
      <w:pPr>
        <w:tabs>
          <w:tab w:val="left" w:pos="480"/>
        </w:tabs>
        <w:ind w:left="480" w:hanging="48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AEF7738B"/>
    <w:rsid w:val="AEF7738B"/>
    <w:rsid w:val="B7CFA7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szCs w:val="18"/>
    </w:rPr>
  </w:style>
  <w:style w:type="paragraph" w:styleId="3">
    <w:name w:val="header"/>
    <w:basedOn w:val="1"/>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Office_7.5.1.8994_F1E327BC-269C-435d-A152-05C5408002CA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2025-08-25T16:45:00Z</dcterms:created>
  <dc:creator>绿水青山</dc:creator>
  <cp:lastModifiedBy>绿水青山</cp:lastModifiedBy>
  <dcterms:modified xsi:type="dcterms:W3CDTF">2025-08-25T08:52:28Z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2052-7.5.1.8994</vt:lpwstr>
  </property>
  <property fmtid="{D5CDD505-2E9C-101B-9397-08002B2CF9AE}" pid="3" name="ICV">
    <vt:lpwstr>77D81F6AAD0E8E9812B2AB68F4614153_41</vt:lpwstr>
  </property>
</Properties>
</file>